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2B" w:rsidRDefault="00BD735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A632B" w:rsidRDefault="00BD735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A632B" w:rsidRDefault="00BD735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Батайска</w:t>
      </w:r>
    </w:p>
    <w:p w:rsidR="006A632B" w:rsidRDefault="00BD735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28.12.2018 № 640</w:t>
      </w:r>
      <w:bookmarkStart w:id="0" w:name="_GoBack"/>
      <w:bookmarkEnd w:id="0"/>
    </w:p>
    <w:p w:rsidR="006A632B" w:rsidRDefault="006A632B">
      <w:pPr>
        <w:pStyle w:val="ConsPlusNormal"/>
        <w:widowControl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632B" w:rsidRDefault="00BD7350">
      <w:pPr>
        <w:pStyle w:val="20"/>
        <w:jc w:val="center"/>
        <w:rPr>
          <w:b/>
          <w:sz w:val="24"/>
        </w:rPr>
      </w:pPr>
      <w:r>
        <w:rPr>
          <w:sz w:val="24"/>
        </w:rPr>
        <w:t>Шкала</w:t>
      </w:r>
    </w:p>
    <w:p w:rsidR="006A632B" w:rsidRDefault="00BD7350">
      <w:pPr>
        <w:pStyle w:val="20"/>
        <w:jc w:val="center"/>
        <w:rPr>
          <w:b/>
          <w:sz w:val="24"/>
        </w:rPr>
      </w:pPr>
      <w:r>
        <w:rPr>
          <w:sz w:val="24"/>
        </w:rPr>
        <w:t>для оценки критериев при оценке и сопоставлении заявок</w:t>
      </w:r>
    </w:p>
    <w:p w:rsidR="006A632B" w:rsidRDefault="00BD7350">
      <w:pPr>
        <w:pStyle w:val="20"/>
        <w:jc w:val="center"/>
        <w:rPr>
          <w:b/>
          <w:sz w:val="24"/>
        </w:rPr>
      </w:pPr>
      <w:r>
        <w:rPr>
          <w:sz w:val="24"/>
        </w:rPr>
        <w:t>на участие в открытом конкурсе на право осуществления</w:t>
      </w:r>
    </w:p>
    <w:p w:rsidR="006A632B" w:rsidRDefault="00BD7350">
      <w:pPr>
        <w:pStyle w:val="20"/>
        <w:jc w:val="center"/>
        <w:rPr>
          <w:b/>
          <w:sz w:val="24"/>
        </w:rPr>
      </w:pPr>
      <w:r>
        <w:rPr>
          <w:sz w:val="24"/>
        </w:rPr>
        <w:t>перевозок по муниципальному маршруту регулярных</w:t>
      </w:r>
    </w:p>
    <w:p w:rsidR="006A632B" w:rsidRDefault="00BD7350">
      <w:pPr>
        <w:pStyle w:val="20"/>
        <w:jc w:val="center"/>
        <w:rPr>
          <w:sz w:val="22"/>
        </w:rPr>
      </w:pPr>
      <w:r>
        <w:rPr>
          <w:sz w:val="24"/>
        </w:rPr>
        <w:t>перевозок</w:t>
      </w:r>
    </w:p>
    <w:p w:rsidR="006A632B" w:rsidRDefault="006A63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5"/>
        <w:gridCol w:w="6298"/>
        <w:gridCol w:w="1589"/>
      </w:tblGrid>
      <w:tr w:rsidR="006A632B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критерия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критерия и методика расчета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6A632B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1.Критерий безопасности пассажирских перевозок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и </w:t>
            </w:r>
            <w:r>
              <w:rPr>
                <w:rFonts w:ascii="Times New Roman" w:hAnsi="Times New Roman" w:cs="Times New Roman"/>
              </w:rPr>
              <w:t>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официальном сайте организатора</w:t>
            </w:r>
            <w:r>
              <w:rPr>
                <w:rFonts w:ascii="Times New Roman" w:hAnsi="Times New Roman" w:cs="Times New Roman"/>
              </w:rPr>
              <w:t xml:space="preserve"> открытого конкурса в информационно-телекоммуникационной сети "Интернет" (далее - дата размещения извещения), в расчете на среднее количество транспортных средств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предусмотренных договорами обязательного страхования гражданской ответственности юридическог</w:t>
            </w:r>
            <w:r>
              <w:rPr>
                <w:rFonts w:ascii="Times New Roman" w:hAnsi="Times New Roman" w:cs="Times New Roman"/>
              </w:rPr>
              <w:t>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извещения.</w:t>
            </w:r>
            <w:proofErr w:type="gramEnd"/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рассчитывается по след</w:t>
            </w:r>
            <w:r>
              <w:rPr>
                <w:rFonts w:ascii="Times New Roman" w:hAnsi="Times New Roman" w:cs="Times New Roman"/>
              </w:rPr>
              <w:t>ующей формуле: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632B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дтп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тс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32B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дтп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</w:t>
            </w:r>
            <w:r>
              <w:rPr>
                <w:rFonts w:ascii="Times New Roman" w:hAnsi="Times New Roman" w:cs="Times New Roman"/>
              </w:rPr>
              <w:t>иков в течение года, предшествующего дате размещения извещения о проведении открытого конкурса на официальном сайте организатора открытого конкурса в информационно-телекоммуникационной сети "Интернет";</w:t>
            </w:r>
            <w:proofErr w:type="gramEnd"/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среднее количество транспортных средств, предусм</w:t>
            </w:r>
            <w:r>
              <w:rPr>
                <w:rFonts w:ascii="Times New Roman" w:hAnsi="Times New Roman" w:cs="Times New Roman"/>
              </w:rPr>
              <w:t>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</w:t>
            </w:r>
            <w:r>
              <w:rPr>
                <w:rFonts w:ascii="Times New Roman" w:hAnsi="Times New Roman" w:cs="Times New Roman"/>
              </w:rPr>
              <w:t>, предшествующего дате размещения извещения.</w:t>
            </w:r>
            <w:proofErr w:type="gramEnd"/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случае, если: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0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от 0,01 до 0,09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минус 5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от 0,1 до 0,24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минус 10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от 0,25 до 0,49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минус 20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= от 0,5 до 1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минус 30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бпп</w:t>
            </w:r>
            <w:proofErr w:type="spellEnd"/>
            <w:r>
              <w:rPr>
                <w:rFonts w:ascii="Times New Roman" w:hAnsi="Times New Roman" w:cs="Times New Roman"/>
              </w:rPr>
              <w:t>&gt; 1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минус 40</w:t>
            </w:r>
          </w:p>
        </w:tc>
      </w:tr>
      <w:tr w:rsidR="006A632B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Критерий опыта пассажирских </w:t>
            </w: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контрактах либо нотариально</w:t>
            </w:r>
            <w:r>
              <w:rPr>
                <w:rFonts w:ascii="Times New Roman" w:hAnsi="Times New Roman" w:cs="Times New Roman"/>
              </w:rPr>
              <w:t xml:space="preserve"> заверенными копиями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</w:t>
            </w:r>
            <w:r>
              <w:rPr>
                <w:rFonts w:ascii="Times New Roman" w:hAnsi="Times New Roman" w:cs="Times New Roman"/>
              </w:rPr>
              <w:t>озок по маршрутам регулярных перевозок, или иных документов, предусмотренных нормативными правовыми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актами субъектов Российской Федерации, муниципальными нормативными правовыми актами исчисляется исходя из количества полных лет осуществления ими перевозок </w:t>
            </w:r>
            <w:r>
              <w:rPr>
                <w:rFonts w:ascii="Times New Roman" w:hAnsi="Times New Roman" w:cs="Times New Roman"/>
              </w:rPr>
              <w:t>по маршрутам регулярных перевозок. Данный критерий в отношении юридического лица или индивидуального предпринимателя перевозок, а в отношении участников договора простого товарищества - исходя из среднеарифметического количества полных лет осуществления пе</w:t>
            </w:r>
            <w:r>
              <w:rPr>
                <w:rFonts w:ascii="Times New Roman" w:hAnsi="Times New Roman" w:cs="Times New Roman"/>
              </w:rPr>
              <w:t>ревозок по маршрутам регулярных перевозок каждым участником.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если: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оорп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менее 1 года или без опыта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оорп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от 1 года до 3 лет (включительно)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оорп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от 4 лет до 5 лет (включительно)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оорп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от 6 лет до 10 лет (включительно)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оорп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свыше 11 лет</w:t>
            </w:r>
          </w:p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A632B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Критерий, влияющий на качество перевозок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Критерий по эргономической характеристике транспортных средств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эгхтс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оценивается по следующей шкале:</w:t>
            </w:r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транспортное средство, имеющее низкий пол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для перевозок пассажиров с ограниченными возможностями передвижения и (или) пассажиров с детскими колясками, начисляется 10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нповп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имеющее багажное отделение, начисляется 10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дство, оснащенное кондиционером, начисляется 10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транспортное средство, оснащенное электронным информационным табло в соответствии с требованиями </w:t>
            </w:r>
            <w:hyperlink r:id="rId5">
              <w:r>
                <w:rPr>
                  <w:rStyle w:val="-"/>
                  <w:rFonts w:ascii="Times New Roman" w:hAnsi="Times New Roman" w:cs="Times New Roman"/>
                  <w:color w:val="00000A"/>
                  <w:sz w:val="20"/>
                  <w:szCs w:val="20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14.02.20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 N 112, начисляется 5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оснащенное системой безналичной оплаты проезда, начисляется 5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критерия рассчитывается по следующей формуле:</w:t>
            </w:r>
          </w:p>
          <w:p w:rsidR="006A632B" w:rsidRDefault="006A632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32B" w:rsidRDefault="00BD7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эгхтс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нповп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10) +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10) +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10) +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 +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5)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32B" w:rsidRDefault="00B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транспортных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оответствии с предметом открытого конкурса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632B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tabs>
                <w:tab w:val="left" w:pos="567"/>
                <w:tab w:val="left" w:pos="709"/>
              </w:tabs>
              <w:ind w:firstLine="5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 Критерий по экологической характеристике транспортных средств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экхтс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оценивается по следующей шкале: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отвечающее экологическому показателю Евро, баллы не начисляются;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отвечающее экологическому показателю Евро-1, баллы не начисляются;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отвечающее экологическому показателю Евро-2, начисляется 2 баллов 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отвечающее экологическому показателю Евро-3, начисляется 5 баллов 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отвечающее экологическому показателю Евро-4, начисляется 10 баллов 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отвечающее экологическому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казателю выше Евро-4, начисляется 15 баллов 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A632B" w:rsidRDefault="00BD7350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критерия рассчитывается по следующей формуле:</w:t>
            </w:r>
          </w:p>
          <w:p w:rsidR="006A632B" w:rsidRDefault="00BD7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экхтс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=(К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*2)+(К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*5)+(К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*10)+</w:t>
            </w:r>
          </w:p>
          <w:p w:rsidR="006A632B" w:rsidRDefault="00BD7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*15)/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32B" w:rsidRDefault="00BD73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транспортных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оответствии с предметом открытого конкурса.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632B"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6A6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tabs>
                <w:tab w:val="left" w:pos="567"/>
                <w:tab w:val="left" w:pos="709"/>
              </w:tabs>
              <w:ind w:firstLine="5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 Критерий по типу двигателя транспортных средств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тдтс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оценивается по следующей шкале: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имеющее бензиновый или дизельный двигатель, начисляется 5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имеющее двигатель, использующий в каче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 моторного топлива два и более видов топлива, начисляется 10 баллов (К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имеющее газовый двигатель, начисляется 30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A632B" w:rsidRDefault="00BD7350">
            <w:pPr>
              <w:tabs>
                <w:tab w:val="left" w:pos="567"/>
                <w:tab w:val="left" w:pos="709"/>
              </w:tabs>
              <w:ind w:firstLine="5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транспортное средство, приводимое в движение исключительно электрическим двигателем и заряжа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емое с помощью внешнего источника электроэнергии, дополнительно начисляется 40 баллов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A632B" w:rsidRDefault="00BD7350">
            <w:pPr>
              <w:ind w:firstLine="5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критерия рассчитывается по следующей формуле:</w:t>
            </w:r>
          </w:p>
          <w:p w:rsidR="006A632B" w:rsidRDefault="00BD7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тдтс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*5)+(К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*10)+(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*30)+</w:t>
            </w:r>
          </w:p>
          <w:p w:rsidR="006A632B" w:rsidRDefault="00BD7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*40)/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32B" w:rsidRDefault="00BD73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транспортных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оответствии с предметом открытого конкурса.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6A632B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Критерий максимального срока эксплуатации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максимальный срок эксплуатации транспортных средств, предлагаемых юридическим лицом, индивидуальным </w:t>
            </w:r>
            <w:r>
              <w:rPr>
                <w:rFonts w:ascii="Times New Roman" w:hAnsi="Times New Roman" w:cs="Times New Roman"/>
              </w:rPr>
              <w:t xml:space="preserve">предпринимателем или участниками договора простого товарищества для осуществления регулярных перевозок в течение срока действия </w:t>
            </w:r>
            <w:r>
              <w:rPr>
                <w:rFonts w:ascii="Times New Roman" w:hAnsi="Times New Roman" w:cs="Times New Roman"/>
              </w:rPr>
              <w:lastRenderedPageBreak/>
              <w:t>свидетельства об осуществлении перевозок по межмуниципальному маршруту регулярных перевозок, оценивается по следующей шкале:</w:t>
            </w:r>
          </w:p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К0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до 2 лет начисляется 50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К3-5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от 3 до 5 лет начисляется 40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К6-8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от 6 до 8 лет начисляется 30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К9-10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от 9 до 10 лет начисляется 20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К11-13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от 11 до 13 лет начисляется 10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К14-15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от 14 до 15 лет начисляется 5 баллов;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К15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r>
              <w:rPr>
                <w:rFonts w:ascii="Times New Roman" w:hAnsi="Times New Roman" w:cs="Times New Roman"/>
              </w:rPr>
              <w:t xml:space="preserve"> - от 15 лет начисляется 0 баллов.</w:t>
            </w: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рассчитывается по следующей формуле:</w:t>
            </w:r>
          </w:p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632B" w:rsidRDefault="00BD7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мсэтс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= (К0-2 х 50) + (К3-5 х 40) + (К6-8 х 30) + (К9-10 х 20) +</w:t>
            </w:r>
          </w:p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632B" w:rsidRDefault="00BD7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(К11-13 х 10) + (К14-15 х 5) /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A632B" w:rsidRDefault="006A63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632B" w:rsidRDefault="00BD73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ктспк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количество 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>оответствии с предметом открытого конкурса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A632B" w:rsidRDefault="00BD7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</w:tr>
    </w:tbl>
    <w:p w:rsidR="006A632B" w:rsidRDefault="006A63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32B" w:rsidRDefault="006A63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32B" w:rsidRDefault="00BD735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p w:rsidR="006A632B" w:rsidRDefault="006A632B">
      <w:pPr>
        <w:pStyle w:val="ConsPlusNormal"/>
        <w:spacing w:before="220" w:after="200"/>
        <w:ind w:firstLine="0"/>
        <w:jc w:val="both"/>
      </w:pPr>
    </w:p>
    <w:sectPr w:rsidR="006A632B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32B"/>
    <w:rsid w:val="006A632B"/>
    <w:rsid w:val="00B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1D49EF"/>
  </w:style>
  <w:style w:type="character" w:customStyle="1" w:styleId="-">
    <w:name w:val="Интернет-ссылка"/>
    <w:rsid w:val="00F91EB3"/>
    <w:rPr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uiPriority w:val="99"/>
    <w:qFormat/>
    <w:rsid w:val="001D49EF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1D49EF"/>
    <w:pPr>
      <w:widowControl w:val="0"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styleId="20">
    <w:name w:val="Body Text Indent 2"/>
    <w:basedOn w:val="a"/>
    <w:qFormat/>
    <w:rsid w:val="001D49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F91EB3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F91EB3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table" w:styleId="a8">
    <w:name w:val="Table Grid"/>
    <w:basedOn w:val="a1"/>
    <w:uiPriority w:val="59"/>
    <w:rsid w:val="001D4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54A700D2C01AF2648A94195007A575D29EDE9FDE7ED6BD647BF09B335240AB45D39868D2E37BD5A36B7AB9765DF7CFF79E542BAA154CDBfAU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9</cp:revision>
  <dcterms:created xsi:type="dcterms:W3CDTF">2018-12-25T12:54:00Z</dcterms:created>
  <dcterms:modified xsi:type="dcterms:W3CDTF">2026-03-03T11:11:00Z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