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8E3848" w:rsidRDefault="00BC212C" w:rsidP="008E3848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C40FF0">
        <w:rPr>
          <w:rFonts w:ascii="Times New Roman" w:hAnsi="Times New Roman"/>
          <w:spacing w:val="2"/>
          <w:sz w:val="24"/>
          <w:szCs w:val="24"/>
          <w:lang w:eastAsia="ru-RU"/>
        </w:rPr>
        <w:t>16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230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A230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A4F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A230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Ворошилова, 189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66636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Батайска </w:t>
      </w:r>
      <w:r w:rsidR="0087797E" w:rsidRPr="008E384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E3848" w:rsidRPr="008E3848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8E384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E3848" w:rsidRPr="008E3848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Куйбышева, 171</w:t>
      </w:r>
      <w:r w:rsidR="00A2306F">
        <w:rPr>
          <w:rFonts w:ascii="Times New Roman" w:hAnsi="Times New Roman"/>
          <w:sz w:val="24"/>
          <w:szCs w:val="24"/>
          <w:u w:val="single"/>
        </w:rPr>
        <w:t>А</w:t>
      </w:r>
      <w:r w:rsidR="0087797E" w:rsidRPr="008451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8451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230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C07C3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07C3A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694"/>
        <w:gridCol w:w="4110"/>
        <w:gridCol w:w="2268"/>
      </w:tblGrid>
      <w:tr w:rsidR="00BC212C" w:rsidRPr="005856DB" w:rsidTr="00204323">
        <w:trPr>
          <w:trHeight w:val="15"/>
        </w:trPr>
        <w:tc>
          <w:tcPr>
            <w:tcW w:w="56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204323">
        <w:trPr>
          <w:trHeight w:val="251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204323">
        <w:trPr>
          <w:trHeight w:val="100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2E49" w:rsidRPr="00204323" w:rsidRDefault="00360E57" w:rsidP="00204323">
            <w:pPr>
              <w:widowControl/>
              <w:suppressAutoHyphens w:val="0"/>
              <w:autoSpaceDE/>
              <w:spacing w:line="315" w:lineRule="atLeast"/>
              <w:ind w:right="-7" w:firstLine="0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Д.В.Котков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заместитель председателя Комиссии, начальник управления по</w:t>
            </w:r>
            <w:r w:rsidRPr="008F2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0432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архитектуре и </w:t>
            </w:r>
            <w:r w:rsidRPr="008F234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градостроительству - главный архитектор города Батайска:  </w:t>
            </w:r>
            <w:r w:rsidR="0020432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Выразил несогласие с представленным проектом</w:t>
            </w:r>
            <w:r w:rsidR="00E72E49" w:rsidRPr="00E72E4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E72E49" w:rsidRPr="00E72E49">
              <w:rPr>
                <w:rFonts w:ascii="Times New Roman" w:hAnsi="Times New Roman"/>
                <w:sz w:val="24"/>
                <w:szCs w:val="24"/>
              </w:rPr>
              <w:t>Предпроектное</w:t>
            </w:r>
            <w:proofErr w:type="spellEnd"/>
            <w:r w:rsidR="00E72E49" w:rsidRPr="00E72E49">
              <w:rPr>
                <w:rFonts w:ascii="Times New Roman" w:hAnsi="Times New Roman"/>
                <w:sz w:val="24"/>
                <w:szCs w:val="24"/>
              </w:rPr>
              <w:t xml:space="preserve"> предложение по изменению вида разрешенного использования с КН 61:46:0011703:2355 для производственной деятельности по ад</w:t>
            </w:r>
            <w:r w:rsidR="00204323">
              <w:rPr>
                <w:rFonts w:ascii="Times New Roman" w:hAnsi="Times New Roman"/>
                <w:sz w:val="24"/>
                <w:szCs w:val="24"/>
              </w:rPr>
              <w:t xml:space="preserve">ресу: Ростовская область, город </w:t>
            </w:r>
            <w:r w:rsidR="00E72E49" w:rsidRPr="00E72E49">
              <w:rPr>
                <w:rFonts w:ascii="Times New Roman" w:hAnsi="Times New Roman"/>
                <w:sz w:val="24"/>
                <w:szCs w:val="24"/>
              </w:rPr>
              <w:lastRenderedPageBreak/>
              <w:t>Батайск, ул.Куйбышева</w:t>
            </w:r>
            <w:r w:rsidR="00E72E49" w:rsidRPr="00E72E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,171а на вид разрешенного использования земельного участка «сооружения связи, радиовещания и телевидения; многоквартирные жилые дома от 4-х этажей» 147/2018-ПЗУ выполненное в марте 2019 года </w:t>
            </w:r>
            <w:r w:rsidR="00204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ООО «Бюро недвижимости </w:t>
            </w:r>
            <w:r w:rsidR="00E72E49" w:rsidRPr="00E72E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проектирования». Согласно представленному предложению, жилой дом этажностью 5 этажей, общей площадью 1298кв.м. предлагается разместить на земельном участке площадью 775кв.м. на расстоянии от 1.0м до 3.0м от границы земельного участка до ул.Куйбышева.  Указ</w:t>
            </w:r>
            <w:r w:rsidR="00E72E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анное размещение жилого дома не </w:t>
            </w:r>
            <w:r w:rsidR="00E72E49" w:rsidRPr="00E72E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соответствует требованиям п.1.3 местных нормативов градостроительного проектирования муниципального образования «Город Батайск» согласно которому отступ застройки от основной проезжей части магистральных автомобильных дорог должен быть - не менее чем на 50 м, а при устройстве </w:t>
            </w:r>
            <w:proofErr w:type="spellStart"/>
            <w:r w:rsidR="00E72E49" w:rsidRPr="00E72E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шумозащитных</w:t>
            </w:r>
            <w:proofErr w:type="spellEnd"/>
            <w:r w:rsidR="00E72E49" w:rsidRPr="00E72E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устройств - не менее 30 м.</w:t>
            </w:r>
          </w:p>
          <w:p w:rsidR="00E72E49" w:rsidRPr="00E72E49" w:rsidRDefault="00E72E49" w:rsidP="00E72E49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E72E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Указанная площадь озеленения не соответствует требованиям Табл.1 Гл.21 Правил землепользования и застройки муниципального образования «Город Батайск»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D267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2E49">
              <w:rPr>
                <w:rFonts w:ascii="Times New Roman" w:hAnsi="Times New Roman"/>
                <w:sz w:val="24"/>
                <w:szCs w:val="24"/>
              </w:rPr>
              <w:t xml:space="preserve">Размещение парковки на 5 </w:t>
            </w:r>
            <w:proofErr w:type="spellStart"/>
            <w:r w:rsidRPr="00E72E49">
              <w:rPr>
                <w:rFonts w:ascii="Times New Roman" w:hAnsi="Times New Roman"/>
                <w:sz w:val="24"/>
                <w:szCs w:val="24"/>
              </w:rPr>
              <w:t>машино-мест</w:t>
            </w:r>
            <w:proofErr w:type="spellEnd"/>
            <w:r w:rsidRPr="00E72E49">
              <w:rPr>
                <w:rFonts w:ascii="Times New Roman" w:hAnsi="Times New Roman"/>
                <w:sz w:val="24"/>
                <w:szCs w:val="24"/>
              </w:rPr>
              <w:t xml:space="preserve"> не соответствует требованиям  </w:t>
            </w:r>
          </w:p>
          <w:p w:rsidR="00E72E49" w:rsidRDefault="00E72E49" w:rsidP="00E72E49">
            <w:pPr>
              <w:widowControl/>
              <w:suppressAutoHyphens w:val="0"/>
              <w:autoSpaceDE/>
              <w:spacing w:line="315" w:lineRule="atLeast"/>
              <w:ind w:right="-7" w:firstLine="0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6F6F6"/>
              </w:rPr>
            </w:pPr>
            <w:r w:rsidRPr="00E72E49">
              <w:rPr>
                <w:rFonts w:ascii="Times New Roman" w:hAnsi="Times New Roman"/>
                <w:sz w:val="24"/>
                <w:szCs w:val="24"/>
                <w:shd w:val="clear" w:color="auto" w:fill="F6F6F6"/>
              </w:rPr>
              <w:t xml:space="preserve">таблицы 4.4.1 </w:t>
            </w:r>
            <w:proofErr w:type="spellStart"/>
            <w:r w:rsidRPr="00E72E49">
              <w:rPr>
                <w:rFonts w:ascii="Times New Roman" w:hAnsi="Times New Roman"/>
                <w:sz w:val="24"/>
                <w:szCs w:val="24"/>
                <w:shd w:val="clear" w:color="auto" w:fill="F6F6F6"/>
              </w:rPr>
              <w:t>СанПиН</w:t>
            </w:r>
            <w:proofErr w:type="spellEnd"/>
            <w:r w:rsidRPr="00E72E49">
              <w:rPr>
                <w:rFonts w:ascii="Times New Roman" w:hAnsi="Times New Roman"/>
                <w:sz w:val="24"/>
                <w:szCs w:val="24"/>
                <w:shd w:val="clear" w:color="auto" w:fill="F6F6F6"/>
              </w:rPr>
              <w:t xml:space="preserve"> 2.2.1/2.1.1.1031 согласно которым расстояние до площадок отдыха, игр, спорта должно быть, в данном случае не менее 25 метров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6F6F6"/>
              </w:rPr>
              <w:t>.</w:t>
            </w:r>
          </w:p>
          <w:p w:rsidR="008C148D" w:rsidRPr="00070AF3" w:rsidRDefault="00070AF3" w:rsidP="00070AF3">
            <w:pPr>
              <w:widowControl/>
              <w:suppressAutoHyphens w:val="0"/>
              <w:autoSpaceDE/>
              <w:spacing w:line="315" w:lineRule="atLeast"/>
              <w:ind w:right="-7" w:firstLine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r w:rsidRPr="00070A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азмещение</w:t>
            </w:r>
            <w:r w:rsidRPr="00F32C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070A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070A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для отдыха взрослых и хозяйственной площадки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070A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соответствует требованиям Таблицы 6 местных нормативов градостроительного проектирования муниципального образования «Город Батайск»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9A1863" w:rsidRPr="009A186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 будущем имеется вероятность</w:t>
            </w:r>
            <w:r w:rsidR="00360E57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,</w:t>
            </w:r>
            <w:r w:rsidR="009A1863" w:rsidRPr="009A186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в связи с растущим количеством транспорта</w:t>
            </w:r>
            <w:r w:rsidR="00360E57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,</w:t>
            </w:r>
            <w:r w:rsidR="009A1863" w:rsidRPr="009A186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расширения улицы Куйбышева, </w:t>
            </w:r>
            <w:r w:rsidR="009A1863" w:rsidRPr="009A186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многоквартирный дом не позволит этого с</w:t>
            </w:r>
            <w:r w:rsidR="00360E57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делать, это тоже надо учитывать. И</w:t>
            </w:r>
            <w:r w:rsidR="009A1863" w:rsidRPr="009A186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нтересы жителей города могут быть задеты в данной ситуации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2E49" w:rsidRPr="00E72E49" w:rsidRDefault="00E72E49" w:rsidP="00E72E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2E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ab/>
            </w:r>
          </w:p>
          <w:p w:rsidR="00070AF3" w:rsidRDefault="00E72E49" w:rsidP="00E72E4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Принимая во внимание поступившие замечания,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</w:t>
            </w:r>
            <w:r w:rsidRPr="001E0A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омиссия по землепользованию и застройке муниципального образования "Город Батайск"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отклоняет проект Администрации города Батайска </w:t>
            </w:r>
            <w:r w:rsidRPr="00451151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"</w:t>
            </w:r>
            <w:r w:rsidRPr="008E3848">
              <w:rPr>
                <w:rFonts w:ascii="Times New Roman" w:hAnsi="Times New Roman"/>
                <w:sz w:val="24"/>
                <w:szCs w:val="24"/>
                <w:u w:val="single"/>
              </w:rPr>
              <w:t>О  предоставлении разрешения на условно разрешенный вид использования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E38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земельного участка по адресу: г.Батайск, </w:t>
            </w:r>
          </w:p>
          <w:p w:rsidR="00EA5A90" w:rsidRPr="005856DB" w:rsidRDefault="00E72E49" w:rsidP="00E72E4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3848">
              <w:rPr>
                <w:rFonts w:ascii="Times New Roman" w:hAnsi="Times New Roman"/>
                <w:sz w:val="24"/>
                <w:szCs w:val="24"/>
                <w:u w:val="single"/>
              </w:rPr>
              <w:t>ул. Куйбышева, 171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А</w:t>
            </w:r>
            <w:r w:rsidRPr="003836D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"</w:t>
            </w:r>
          </w:p>
        </w:tc>
      </w:tr>
      <w:tr w:rsidR="00BC212C" w:rsidRPr="005856DB" w:rsidTr="0020432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40503B" w:rsidRP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705D12" w:rsidRPr="008E3848">
        <w:rPr>
          <w:rFonts w:ascii="Times New Roman" w:hAnsi="Times New Roman"/>
          <w:sz w:val="24"/>
          <w:szCs w:val="24"/>
          <w:u w:val="single"/>
        </w:rPr>
        <w:t>О</w:t>
      </w:r>
      <w:r w:rsidR="00A2306F">
        <w:rPr>
          <w:rFonts w:ascii="Times New Roman" w:hAnsi="Times New Roman"/>
          <w:sz w:val="24"/>
          <w:szCs w:val="24"/>
          <w:u w:val="single"/>
        </w:rPr>
        <w:t>б отказе в</w:t>
      </w:r>
      <w:r w:rsidR="00705D12" w:rsidRPr="008E3848">
        <w:rPr>
          <w:rFonts w:ascii="Times New Roman" w:hAnsi="Times New Roman"/>
          <w:sz w:val="24"/>
          <w:szCs w:val="24"/>
          <w:u w:val="single"/>
        </w:rPr>
        <w:t xml:space="preserve"> предоставлении разрешения на условно разрешенный вид использования</w:t>
      </w:r>
      <w:r w:rsidR="00705D1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05D12" w:rsidRPr="008E3848">
        <w:rPr>
          <w:rFonts w:ascii="Times New Roman" w:hAnsi="Times New Roman"/>
          <w:sz w:val="24"/>
          <w:szCs w:val="24"/>
          <w:u w:val="single"/>
        </w:rPr>
        <w:t>земельног</w:t>
      </w:r>
      <w:r w:rsidR="00A2306F">
        <w:rPr>
          <w:rFonts w:ascii="Times New Roman" w:hAnsi="Times New Roman"/>
          <w:sz w:val="24"/>
          <w:szCs w:val="24"/>
          <w:u w:val="single"/>
        </w:rPr>
        <w:t>о участка по адресу: г.Батайск,</w:t>
      </w:r>
      <w:r w:rsidR="00705D12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705D12" w:rsidRPr="008E3848">
        <w:rPr>
          <w:rFonts w:ascii="Times New Roman" w:hAnsi="Times New Roman"/>
          <w:sz w:val="24"/>
          <w:szCs w:val="24"/>
          <w:u w:val="single"/>
        </w:rPr>
        <w:t>ул. Куйбышева, 171</w:t>
      </w:r>
      <w:r w:rsidR="00A2306F">
        <w:rPr>
          <w:rFonts w:ascii="Times New Roman" w:hAnsi="Times New Roman"/>
          <w:sz w:val="24"/>
          <w:szCs w:val="24"/>
          <w:u w:val="single"/>
        </w:rPr>
        <w:t>А</w:t>
      </w:r>
      <w:r w:rsidR="005A72FA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0AF3"/>
    <w:rsid w:val="00073F71"/>
    <w:rsid w:val="00111183"/>
    <w:rsid w:val="00137327"/>
    <w:rsid w:val="00141C34"/>
    <w:rsid w:val="00144F90"/>
    <w:rsid w:val="001C15EA"/>
    <w:rsid w:val="001C51B3"/>
    <w:rsid w:val="001E0AEB"/>
    <w:rsid w:val="001E10C0"/>
    <w:rsid w:val="00204323"/>
    <w:rsid w:val="002469FE"/>
    <w:rsid w:val="002C1643"/>
    <w:rsid w:val="002E247D"/>
    <w:rsid w:val="003276AE"/>
    <w:rsid w:val="003533CF"/>
    <w:rsid w:val="00360E57"/>
    <w:rsid w:val="003A4FB5"/>
    <w:rsid w:val="003B44A9"/>
    <w:rsid w:val="003C0796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26E20"/>
    <w:rsid w:val="00552484"/>
    <w:rsid w:val="00594B1F"/>
    <w:rsid w:val="005A2575"/>
    <w:rsid w:val="005A72FA"/>
    <w:rsid w:val="005B7B8D"/>
    <w:rsid w:val="0060407F"/>
    <w:rsid w:val="00605A76"/>
    <w:rsid w:val="00610C4C"/>
    <w:rsid w:val="00622E13"/>
    <w:rsid w:val="0066636C"/>
    <w:rsid w:val="006B558A"/>
    <w:rsid w:val="00705D12"/>
    <w:rsid w:val="00740A5A"/>
    <w:rsid w:val="00755BB9"/>
    <w:rsid w:val="00757920"/>
    <w:rsid w:val="00773022"/>
    <w:rsid w:val="00781F28"/>
    <w:rsid w:val="007B3958"/>
    <w:rsid w:val="007C2421"/>
    <w:rsid w:val="007D0392"/>
    <w:rsid w:val="007D32B0"/>
    <w:rsid w:val="007E20AA"/>
    <w:rsid w:val="00804B90"/>
    <w:rsid w:val="0081048C"/>
    <w:rsid w:val="008147AC"/>
    <w:rsid w:val="00816347"/>
    <w:rsid w:val="00820CAD"/>
    <w:rsid w:val="0084144C"/>
    <w:rsid w:val="0084483F"/>
    <w:rsid w:val="0084512A"/>
    <w:rsid w:val="00845158"/>
    <w:rsid w:val="00875232"/>
    <w:rsid w:val="0087797E"/>
    <w:rsid w:val="008B5DE3"/>
    <w:rsid w:val="008C148D"/>
    <w:rsid w:val="008C7ACC"/>
    <w:rsid w:val="008E18FD"/>
    <w:rsid w:val="008E3848"/>
    <w:rsid w:val="009160A9"/>
    <w:rsid w:val="00935D2D"/>
    <w:rsid w:val="00985ED4"/>
    <w:rsid w:val="009A1863"/>
    <w:rsid w:val="009C70F2"/>
    <w:rsid w:val="009D3432"/>
    <w:rsid w:val="009D6A84"/>
    <w:rsid w:val="009F21F2"/>
    <w:rsid w:val="00A2306F"/>
    <w:rsid w:val="00A55734"/>
    <w:rsid w:val="00A62550"/>
    <w:rsid w:val="00A62B0A"/>
    <w:rsid w:val="00A71F1D"/>
    <w:rsid w:val="00AA1AB1"/>
    <w:rsid w:val="00AC586B"/>
    <w:rsid w:val="00B10681"/>
    <w:rsid w:val="00B67CB6"/>
    <w:rsid w:val="00B82174"/>
    <w:rsid w:val="00BC212C"/>
    <w:rsid w:val="00BC3352"/>
    <w:rsid w:val="00BD32F4"/>
    <w:rsid w:val="00BE542C"/>
    <w:rsid w:val="00BF07A5"/>
    <w:rsid w:val="00C07C3A"/>
    <w:rsid w:val="00C408F2"/>
    <w:rsid w:val="00C40FF0"/>
    <w:rsid w:val="00C8113A"/>
    <w:rsid w:val="00C9766A"/>
    <w:rsid w:val="00CD1A2C"/>
    <w:rsid w:val="00CF5391"/>
    <w:rsid w:val="00D05E4A"/>
    <w:rsid w:val="00D15750"/>
    <w:rsid w:val="00D40114"/>
    <w:rsid w:val="00D61A5E"/>
    <w:rsid w:val="00D724FE"/>
    <w:rsid w:val="00DC5B23"/>
    <w:rsid w:val="00DD0859"/>
    <w:rsid w:val="00E04C80"/>
    <w:rsid w:val="00E72E49"/>
    <w:rsid w:val="00EA5A90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3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87</cp:revision>
  <cp:lastPrinted>2019-05-29T13:53:00Z</cp:lastPrinted>
  <dcterms:created xsi:type="dcterms:W3CDTF">2019-01-09T08:20:00Z</dcterms:created>
  <dcterms:modified xsi:type="dcterms:W3CDTF">2019-05-30T07:50:00Z</dcterms:modified>
</cp:coreProperties>
</file>