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 » июня 2024 года  № 1685 </w:t>
      </w:r>
      <w:r>
        <w:rPr>
          <w:sz w:val="24"/>
        </w:rPr>
        <w:t xml:space="preserve">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4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267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15</w:t>
            </w:r>
            <w:r>
              <w:rPr>
                <w:sz w:val="24"/>
              </w:rPr>
              <w:t>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ул. Тельмана на расстоянии   7,0 м севернее и 6,0 м восточнее от юго-восточного угла жилого дома № 15 по    ул. Шмидта и на расстоянии 6,0 м от кромки проезжей части автомобильной дороги слева по ходу движения 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8505,00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850,50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  <w:r>
        <w:rPr>
          <w:b w:val="0"/>
          <w:color w:val="000000"/>
          <w:sz w:val="24"/>
        </w:rPr>
        <w:t>Аукцион проводится в отношении фактически установленной рекламной конструкции. Срок действия разрешения и договора на установку и эксплуатацию рекламной конструкции истек 27.04.2024.</w:t>
      </w: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 xml:space="preserve">Лот  № </w:t>
      </w:r>
      <w:r>
        <w:rPr>
          <w:color w:val="000000"/>
          <w:sz w:val="24"/>
        </w:rPr>
        <w:t>15</w:t>
      </w:r>
      <w:r>
        <w:rPr>
          <w:color w:val="000000"/>
          <w:sz w:val="24"/>
        </w:rPr>
        <w:t xml:space="preserve">  – односторонний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 xml:space="preserve">. Сбор претендентов по адресу: г. Батайск,  ул. Ворошилова, 189  в 10-00. 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             </w:t>
      </w: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formattext"/>
    <w:basedOn w:val="Style_3"/>
    <w:link w:val="Style_4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_ch" w:type="character">
    <w:name w:val="formattext"/>
    <w:basedOn w:val="Style_3_ch"/>
    <w:link w:val="Style_4"/>
    <w:rPr>
      <w:rFonts w:ascii="Times New Roman" w:hAnsi="Times New Roman"/>
      <w:sz w:val="24"/>
    </w:rPr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WW-Absatz-Standardschriftart111"/>
    <w:link w:val="Style_7_ch"/>
  </w:style>
  <w:style w:styleId="Style_7_ch" w:type="character">
    <w:name w:val="WW-Absatz-Standardschriftart111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WW-Absatz-Standardschriftart111111111111111111"/>
    <w:link w:val="Style_10_ch"/>
  </w:style>
  <w:style w:styleId="Style_10_ch" w:type="character">
    <w:name w:val="WW-Absatz-Standardschriftart111111111111111111"/>
    <w:link w:val="Style_10"/>
  </w:style>
  <w:style w:styleId="Style_11" w:type="paragraph">
    <w:name w:val="WW-Absatz-Standardschriftart1111111111111111"/>
    <w:link w:val="Style_11_ch"/>
  </w:style>
  <w:style w:styleId="Style_11_ch" w:type="character">
    <w:name w:val="WW-Absatz-Standardschriftart1111111111111111"/>
    <w:link w:val="Style_11"/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caption"/>
    <w:basedOn w:val="Style_3"/>
    <w:link w:val="Style_13_ch"/>
    <w:pPr>
      <w:spacing w:after="120" w:before="120"/>
      <w:ind/>
    </w:pPr>
    <w:rPr>
      <w:i w:val="1"/>
      <w:sz w:val="24"/>
    </w:rPr>
  </w:style>
  <w:style w:styleId="Style_13_ch" w:type="character">
    <w:name w:val="caption"/>
    <w:basedOn w:val="Style_3_ch"/>
    <w:link w:val="Style_13"/>
    <w:rPr>
      <w:i w:val="1"/>
      <w:sz w:val="24"/>
    </w:rPr>
  </w:style>
  <w:style w:styleId="Style_14" w:type="paragraph">
    <w:name w:val="WW-Absatz-Standardschriftart11111"/>
    <w:link w:val="Style_14_ch"/>
  </w:style>
  <w:style w:styleId="Style_14_ch" w:type="character">
    <w:name w:val="WW-Absatz-Standardschriftart11111"/>
    <w:link w:val="Style_14"/>
  </w:style>
  <w:style w:styleId="Style_15" w:type="paragraph">
    <w:name w:val="WW-Absatz-Standardschriftart1111111111111111111111"/>
    <w:link w:val="Style_15_ch"/>
  </w:style>
  <w:style w:styleId="Style_15_ch" w:type="character">
    <w:name w:val="WW-Absatz-Standardschriftart1111111111111111111111"/>
    <w:link w:val="Style_15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6" w:type="paragraph">
    <w:name w:val="WW-Absatz-Standardschriftart1111111111111"/>
    <w:link w:val="Style_16_ch"/>
  </w:style>
  <w:style w:styleId="Style_16_ch" w:type="character">
    <w:name w:val="WW-Absatz-Standardschriftart1111111111111"/>
    <w:link w:val="Style_16"/>
  </w:style>
  <w:style w:styleId="Style_17" w:type="paragraph">
    <w:name w:val="WW-Absatz-Standardschriftart11111111111111111"/>
    <w:link w:val="Style_17_ch"/>
  </w:style>
  <w:style w:styleId="Style_17_ch" w:type="character">
    <w:name w:val="WW-Absatz-Standardschriftart11111111111111111"/>
    <w:link w:val="Style_17"/>
  </w:style>
  <w:style w:styleId="Style_18" w:type="paragraph">
    <w:name w:val="Название1"/>
    <w:basedOn w:val="Style_3"/>
    <w:link w:val="Style_18_ch"/>
    <w:pPr>
      <w:spacing w:after="120" w:before="120"/>
      <w:ind/>
    </w:pPr>
    <w:rPr>
      <w:rFonts w:ascii="Arial" w:hAnsi="Arial"/>
      <w:i w:val="1"/>
      <w:sz w:val="20"/>
    </w:rPr>
  </w:style>
  <w:style w:styleId="Style_18_ch" w:type="character">
    <w:name w:val="Название1"/>
    <w:basedOn w:val="Style_3_ch"/>
    <w:link w:val="Style_18"/>
    <w:rPr>
      <w:rFonts w:ascii="Arial" w:hAnsi="Arial"/>
      <w:i w:val="1"/>
      <w:sz w:val="20"/>
    </w:rPr>
  </w:style>
  <w:style w:styleId="Style_19" w:type="paragraph">
    <w:name w:val="WW-Absatz-Standardschriftart111111111111111"/>
    <w:link w:val="Style_19_ch"/>
  </w:style>
  <w:style w:styleId="Style_19_ch" w:type="character">
    <w:name w:val="WW-Absatz-Standardschriftart111111111111111"/>
    <w:link w:val="Style_19"/>
  </w:style>
  <w:style w:styleId="Style_20" w:type="paragraph">
    <w:name w:val="Содержимое таблицы"/>
    <w:basedOn w:val="Style_3"/>
    <w:link w:val="Style_20_ch"/>
  </w:style>
  <w:style w:styleId="Style_20_ch" w:type="character">
    <w:name w:val="Содержимое таблицы"/>
    <w:basedOn w:val="Style_3_ch"/>
    <w:link w:val="Style_20"/>
  </w:style>
  <w:style w:styleId="Style_21" w:type="paragraph">
    <w:name w:val="header"/>
    <w:basedOn w:val="Style_3"/>
    <w:link w:val="Style_21_ch"/>
    <w:pPr>
      <w:tabs>
        <w:tab w:leader="none" w:pos="5130" w:val="center"/>
        <w:tab w:leader="none" w:pos="10260" w:val="right"/>
      </w:tabs>
      <w:ind/>
    </w:pPr>
  </w:style>
  <w:style w:styleId="Style_21_ch" w:type="character">
    <w:name w:val="header"/>
    <w:basedOn w:val="Style_3_ch"/>
    <w:link w:val="Style_21"/>
  </w:style>
  <w:style w:styleId="Style_22" w:type="paragraph">
    <w:name w:val="Основной шрифт абзаца"/>
    <w:link w:val="Style_22_ch"/>
  </w:style>
  <w:style w:styleId="Style_22_ch" w:type="character">
    <w:name w:val="Основной шрифт абзаца"/>
    <w:link w:val="Style_22"/>
  </w:style>
  <w:style w:styleId="Style_23" w:type="paragraph">
    <w:name w:val="WW-Absatz-Standardschriftart111111111111111111111"/>
    <w:link w:val="Style_23_ch"/>
  </w:style>
  <w:style w:styleId="Style_23_ch" w:type="character">
    <w:name w:val="WW-Absatz-Standardschriftart111111111111111111111"/>
    <w:link w:val="Style_23"/>
  </w:style>
  <w:style w:styleId="Style_24" w:type="paragraph">
    <w:name w:val="WW-Absatz-Standardschriftart11111111111"/>
    <w:link w:val="Style_24_ch"/>
  </w:style>
  <w:style w:styleId="Style_24_ch" w:type="character">
    <w:name w:val="WW-Absatz-Standardschriftart11111111111"/>
    <w:link w:val="Style_24"/>
  </w:style>
  <w:style w:styleId="Style_25" w:type="paragraph">
    <w:name w:val="WW-Absatz-Standardschriftart111111111"/>
    <w:link w:val="Style_25_ch"/>
  </w:style>
  <w:style w:styleId="Style_25_ch" w:type="character">
    <w:name w:val="WW-Absatz-Standardschriftart111111111"/>
    <w:link w:val="Style_25"/>
  </w:style>
  <w:style w:styleId="Style_26" w:type="paragraph">
    <w:name w:val="toc 3"/>
    <w:next w:val="Style_3"/>
    <w:link w:val="Style_2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6_ch" w:type="character">
    <w:name w:val="toc 3"/>
    <w:link w:val="Style_26"/>
    <w:rPr>
      <w:rFonts w:ascii="XO Thames" w:hAnsi="XO Thames"/>
      <w:sz w:val="28"/>
    </w:rPr>
  </w:style>
  <w:style w:styleId="Style_27" w:type="paragraph">
    <w:name w:val="Указатель1"/>
    <w:basedOn w:val="Style_3"/>
    <w:link w:val="Style_27_ch"/>
    <w:rPr>
      <w:rFonts w:ascii="Arial" w:hAnsi="Arial"/>
    </w:rPr>
  </w:style>
  <w:style w:styleId="Style_27_ch" w:type="character">
    <w:name w:val="Указатель1"/>
    <w:basedOn w:val="Style_3_ch"/>
    <w:link w:val="Style_27"/>
    <w:rPr>
      <w:rFonts w:ascii="Arial" w:hAnsi="Arial"/>
    </w:rPr>
  </w:style>
  <w:style w:styleId="Style_28" w:type="paragraph">
    <w:name w:val="Body Text"/>
    <w:basedOn w:val="Style_3"/>
    <w:link w:val="Style_28_ch"/>
    <w:pPr>
      <w:spacing w:after="120" w:before="0"/>
      <w:ind/>
    </w:pPr>
  </w:style>
  <w:style w:styleId="Style_28_ch" w:type="character">
    <w:name w:val="Body Text"/>
    <w:basedOn w:val="Style_3_ch"/>
    <w:link w:val="Style_28"/>
  </w:style>
  <w:style w:styleId="Style_29" w:type="paragraph">
    <w:name w:val="WW-Absatz-Standardschriftart"/>
    <w:link w:val="Style_29_ch"/>
  </w:style>
  <w:style w:styleId="Style_29_ch" w:type="character">
    <w:name w:val="WW-Absatz-Standardschriftart"/>
    <w:link w:val="Style_29"/>
  </w:style>
  <w:style w:styleId="Style_30" w:type="paragraph">
    <w:name w:val="WW-Absatz-Standardschriftart11111111"/>
    <w:link w:val="Style_30_ch"/>
  </w:style>
  <w:style w:styleId="Style_30_ch" w:type="character">
    <w:name w:val="WW-Absatz-Standardschriftart11111111"/>
    <w:link w:val="Style_30"/>
  </w:style>
  <w:style w:styleId="Style_31" w:type="paragraph">
    <w:name w:val="WW-Absatz-Standardschriftart11"/>
    <w:link w:val="Style_31_ch"/>
  </w:style>
  <w:style w:styleId="Style_31_ch" w:type="character">
    <w:name w:val="WW-Absatz-Standardschriftart11"/>
    <w:link w:val="Style_31"/>
  </w:style>
  <w:style w:styleId="Style_32" w:type="paragraph">
    <w:name w:val="WW-Absatz-Standardschriftart1111111111"/>
    <w:link w:val="Style_32_ch"/>
  </w:style>
  <w:style w:styleId="Style_32_ch" w:type="character">
    <w:name w:val="WW-Absatz-Standardschriftart1111111111"/>
    <w:link w:val="Style_32"/>
  </w:style>
  <w:style w:styleId="Style_33" w:type="paragraph">
    <w:name w:val="WW-Absatz-Standardschriftart1111111111111111111"/>
    <w:link w:val="Style_33_ch"/>
  </w:style>
  <w:style w:styleId="Style_33_ch" w:type="character">
    <w:name w:val="WW-Absatz-Standardschriftart1111111111111111111"/>
    <w:link w:val="Style_33"/>
  </w:style>
  <w:style w:styleId="Style_34" w:type="paragraph">
    <w:name w:val="WW-Absatz-Standardschriftart1111"/>
    <w:link w:val="Style_34_ch"/>
  </w:style>
  <w:style w:styleId="Style_34_ch" w:type="character">
    <w:name w:val="WW-Absatz-Standardschriftart1111"/>
    <w:link w:val="Style_34"/>
  </w:style>
  <w:style w:styleId="Style_35" w:type="paragraph">
    <w:name w:val="Absatz-Standardschriftart"/>
    <w:link w:val="Style_35_ch"/>
  </w:style>
  <w:style w:styleId="Style_35_ch" w:type="character">
    <w:name w:val="Absatz-Standardschriftart"/>
    <w:link w:val="Style_35"/>
  </w:style>
  <w:style w:styleId="Style_36" w:type="paragraph">
    <w:name w:val="WW-Absatz-Standardschriftart11111111111111111111"/>
    <w:link w:val="Style_36_ch"/>
  </w:style>
  <w:style w:styleId="Style_36_ch" w:type="character">
    <w:name w:val="WW-Absatz-Standardschriftart11111111111111111111"/>
    <w:link w:val="Style_36"/>
  </w:style>
  <w:style w:styleId="Style_37" w:type="paragraph">
    <w:name w:val="heading 5"/>
    <w:next w:val="Style_3"/>
    <w:link w:val="Style_3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7_ch" w:type="character">
    <w:name w:val="heading 5"/>
    <w:link w:val="Style_37"/>
    <w:rPr>
      <w:rFonts w:ascii="XO Thames" w:hAnsi="XO Thames"/>
      <w:b w:val="1"/>
      <w:sz w:val="22"/>
    </w:rPr>
  </w:style>
  <w:style w:styleId="Style_38" w:type="paragraph">
    <w:name w:val="WW-Absatz-Standardschriftart111111111111"/>
    <w:link w:val="Style_38_ch"/>
  </w:style>
  <w:style w:styleId="Style_38_ch" w:type="character">
    <w:name w:val="WW-Absatz-Standardschriftart111111111111"/>
    <w:link w:val="Style_38"/>
  </w:style>
  <w:style w:styleId="Style_39" w:type="paragraph">
    <w:name w:val="heading 1"/>
    <w:next w:val="Style_3"/>
    <w:link w:val="Style_3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9_ch" w:type="character">
    <w:name w:val="heading 1"/>
    <w:link w:val="Style_39"/>
    <w:rPr>
      <w:rFonts w:ascii="XO Thames" w:hAnsi="XO Thames"/>
      <w:b w:val="1"/>
      <w:sz w:val="32"/>
    </w:rPr>
  </w:style>
  <w:style w:styleId="Style_40" w:type="paragraph">
    <w:name w:val="Hyperlink"/>
    <w:link w:val="Style_40_ch"/>
    <w:rPr>
      <w:color w:val="0000FF"/>
      <w:u w:val="single"/>
    </w:rPr>
  </w:style>
  <w:style w:styleId="Style_40_ch" w:type="character">
    <w:name w:val="Hyperlink"/>
    <w:link w:val="Style_40"/>
    <w:rPr>
      <w:color w:val="0000FF"/>
      <w:u w:val="single"/>
    </w:rPr>
  </w:style>
  <w:style w:styleId="Style_41" w:type="paragraph">
    <w:name w:val="Footnote"/>
    <w:link w:val="Style_41_ch"/>
    <w:pPr>
      <w:ind w:firstLine="851" w:left="0"/>
      <w:jc w:val="both"/>
    </w:pPr>
    <w:rPr>
      <w:rFonts w:ascii="XO Thames" w:hAnsi="XO Thames"/>
      <w:sz w:val="22"/>
    </w:rPr>
  </w:style>
  <w:style w:styleId="Style_41_ch" w:type="character">
    <w:name w:val="Footnote"/>
    <w:link w:val="Style_41"/>
    <w:rPr>
      <w:rFonts w:ascii="XO Thames" w:hAnsi="XO Thames"/>
      <w:sz w:val="22"/>
    </w:rPr>
  </w:style>
  <w:style w:styleId="Style_42" w:type="paragraph">
    <w:name w:val="Основной шрифт абзаца1"/>
    <w:link w:val="Style_42_ch"/>
  </w:style>
  <w:style w:styleId="Style_42_ch" w:type="character">
    <w:name w:val="Основной шрифт абзаца1"/>
    <w:link w:val="Style_42"/>
  </w:style>
  <w:style w:styleId="Style_43" w:type="paragraph">
    <w:name w:val="toc 1"/>
    <w:next w:val="Style_3"/>
    <w:link w:val="Style_4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3_ch" w:type="character">
    <w:name w:val="toc 1"/>
    <w:link w:val="Style_43"/>
    <w:rPr>
      <w:rFonts w:ascii="XO Thames" w:hAnsi="XO Thames"/>
      <w:b w:val="1"/>
      <w:sz w:val="28"/>
    </w:rPr>
  </w:style>
  <w:style w:styleId="Style_44" w:type="paragraph">
    <w:name w:val="WW-Absatz-Standardschriftart111111"/>
    <w:link w:val="Style_44_ch"/>
  </w:style>
  <w:style w:styleId="Style_44_ch" w:type="character">
    <w:name w:val="WW-Absatz-Standardschriftart111111"/>
    <w:link w:val="Style_44"/>
  </w:style>
  <w:style w:styleId="Style_45" w:type="paragraph">
    <w:name w:val="List"/>
    <w:basedOn w:val="Style_28"/>
    <w:link w:val="Style_45_ch"/>
    <w:rPr>
      <w:rFonts w:ascii="Arial" w:hAnsi="Arial"/>
    </w:rPr>
  </w:style>
  <w:style w:styleId="Style_45_ch" w:type="character">
    <w:name w:val="List"/>
    <w:basedOn w:val="Style_28_ch"/>
    <w:link w:val="Style_45"/>
    <w:rPr>
      <w:rFonts w:ascii="Arial" w:hAnsi="Arial"/>
    </w:rPr>
  </w:style>
  <w:style w:styleId="Style_46" w:type="paragraph">
    <w:name w:val="WW-Absatz-Standardschriftart11111111111111"/>
    <w:link w:val="Style_46_ch"/>
  </w:style>
  <w:style w:styleId="Style_46_ch" w:type="character">
    <w:name w:val="WW-Absatz-Standardschriftart11111111111111"/>
    <w:link w:val="Style_46"/>
  </w:style>
  <w:style w:styleId="Style_47" w:type="paragraph">
    <w:name w:val="Header and Footer"/>
    <w:link w:val="Style_47_ch"/>
    <w:pPr>
      <w:spacing w:line="240" w:lineRule="auto"/>
      <w:ind/>
      <w:jc w:val="both"/>
    </w:pPr>
    <w:rPr>
      <w:rFonts w:ascii="XO Thames" w:hAnsi="XO Thames"/>
      <w:sz w:val="20"/>
    </w:rPr>
  </w:style>
  <w:style w:styleId="Style_47_ch" w:type="character">
    <w:name w:val="Header and Footer"/>
    <w:link w:val="Style_47"/>
    <w:rPr>
      <w:rFonts w:ascii="XO Thames" w:hAnsi="XO Thames"/>
      <w:sz w:val="20"/>
    </w:rPr>
  </w:style>
  <w:style w:styleId="Style_48" w:type="paragraph">
    <w:name w:val="toc 9"/>
    <w:next w:val="Style_3"/>
    <w:link w:val="Style_4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8_ch" w:type="character">
    <w:name w:val="toc 9"/>
    <w:link w:val="Style_48"/>
    <w:rPr>
      <w:rFonts w:ascii="XO Thames" w:hAnsi="XO Thames"/>
      <w:sz w:val="28"/>
    </w:rPr>
  </w:style>
  <w:style w:styleId="Style_49" w:type="paragraph">
    <w:name w:val="Заголовок"/>
    <w:basedOn w:val="Style_3"/>
    <w:next w:val="Style_28"/>
    <w:link w:val="Style_49_ch"/>
    <w:pPr>
      <w:keepNext w:val="1"/>
      <w:spacing w:after="120" w:before="240"/>
      <w:ind/>
    </w:pPr>
    <w:rPr>
      <w:rFonts w:ascii="Arial" w:hAnsi="Arial"/>
      <w:sz w:val="28"/>
    </w:rPr>
  </w:style>
  <w:style w:styleId="Style_49_ch" w:type="character">
    <w:name w:val="Заголовок"/>
    <w:basedOn w:val="Style_3_ch"/>
    <w:link w:val="Style_49"/>
    <w:rPr>
      <w:rFonts w:ascii="Arial" w:hAnsi="Arial"/>
      <w:sz w:val="28"/>
    </w:rPr>
  </w:style>
  <w:style w:styleId="Style_50" w:type="paragraph">
    <w:name w:val="Указатель"/>
    <w:basedOn w:val="Style_3"/>
    <w:link w:val="Style_50_ch"/>
  </w:style>
  <w:style w:styleId="Style_50_ch" w:type="character">
    <w:name w:val="Указатель"/>
    <w:basedOn w:val="Style_3_ch"/>
    <w:link w:val="Style_50"/>
  </w:style>
  <w:style w:styleId="Style_51" w:type="paragraph">
    <w:name w:val="WW-Absatz-Standardschriftart1111111"/>
    <w:link w:val="Style_51_ch"/>
  </w:style>
  <w:style w:styleId="Style_51_ch" w:type="character">
    <w:name w:val="WW-Absatz-Standardschriftart1111111"/>
    <w:link w:val="Style_51"/>
  </w:style>
  <w:style w:styleId="Style_52" w:type="paragraph">
    <w:name w:val="toc 8"/>
    <w:next w:val="Style_3"/>
    <w:link w:val="Style_5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2_ch" w:type="character">
    <w:name w:val="toc 8"/>
    <w:link w:val="Style_52"/>
    <w:rPr>
      <w:rFonts w:ascii="XO Thames" w:hAnsi="XO Thames"/>
      <w:sz w:val="28"/>
    </w:rPr>
  </w:style>
  <w:style w:styleId="Style_53" w:type="paragraph">
    <w:name w:val="toc 5"/>
    <w:next w:val="Style_3"/>
    <w:link w:val="Style_5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54" w:type="paragraph">
    <w:name w:val="Default Paragraph Font"/>
    <w:link w:val="Style_54_ch"/>
  </w:style>
  <w:style w:styleId="Style_54_ch" w:type="character">
    <w:name w:val="Default Paragraph Font"/>
    <w:link w:val="Style_54"/>
  </w:style>
  <w:style w:styleId="Style_55" w:type="paragraph">
    <w:name w:val="Заголовок таблицы"/>
    <w:basedOn w:val="Style_20"/>
    <w:link w:val="Style_55_ch"/>
    <w:pPr>
      <w:ind/>
      <w:jc w:val="center"/>
    </w:pPr>
    <w:rPr>
      <w:b w:val="1"/>
    </w:rPr>
  </w:style>
  <w:style w:styleId="Style_55_ch" w:type="character">
    <w:name w:val="Заголовок таблицы"/>
    <w:basedOn w:val="Style_20_ch"/>
    <w:link w:val="Style_55"/>
    <w:rPr>
      <w:b w:val="1"/>
    </w:rPr>
  </w:style>
  <w:style w:styleId="Style_56" w:type="paragraph">
    <w:name w:val="WW-Absatz-Standardschriftart1"/>
    <w:link w:val="Style_56_ch"/>
  </w:style>
  <w:style w:styleId="Style_56_ch" w:type="character">
    <w:name w:val="WW-Absatz-Standardschriftart1"/>
    <w:link w:val="Style_56"/>
  </w:style>
  <w:style w:styleId="Style_57" w:type="paragraph">
    <w:name w:val="Subtitle"/>
    <w:next w:val="Style_3"/>
    <w:link w:val="Style_5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7_ch" w:type="character">
    <w:name w:val="Subtitle"/>
    <w:link w:val="Style_57"/>
    <w:rPr>
      <w:rFonts w:ascii="XO Thames" w:hAnsi="XO Thames"/>
      <w:i w:val="1"/>
      <w:sz w:val="24"/>
    </w:rPr>
  </w:style>
  <w:style w:styleId="Style_58" w:type="paragraph">
    <w:name w:val="Title"/>
    <w:next w:val="Style_3"/>
    <w:link w:val="Style_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3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Текст выноски"/>
    <w:basedOn w:val="Style_3"/>
    <w:link w:val="Style_61_ch"/>
    <w:rPr>
      <w:rFonts w:ascii="Tahoma" w:hAnsi="Tahoma"/>
      <w:sz w:val="16"/>
    </w:rPr>
  </w:style>
  <w:style w:styleId="Style_61_ch" w:type="character">
    <w:name w:val="Текст выноски"/>
    <w:basedOn w:val="Style_3_ch"/>
    <w:link w:val="Style_61"/>
    <w:rPr>
      <w:rFonts w:ascii="Tahoma" w:hAnsi="Tahoma"/>
      <w:sz w:val="1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2024-06-14T07:54:23Z</dcterms:modified>
</cp:coreProperties>
</file>