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3533CF" w:rsidRDefault="006D4603" w:rsidP="00BD39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проезд Лиманный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центральная городская библиотека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043E05" w:rsidRPr="00043E05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проезду Лиманный, 1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_</w:t>
      </w:r>
      <w:r w:rsidR="001012E8" w:rsidRP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</w:t>
      </w:r>
      <w:r w:rsidR="00FE50E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639E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74493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74493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74493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74493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969"/>
        <w:gridCol w:w="3543"/>
      </w:tblGrid>
      <w:tr w:rsidR="00BC212C" w:rsidRPr="005856DB" w:rsidTr="003C4ABE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3C4ABE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3C4ABE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0623B" w:rsidRDefault="00FF52FC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  <w:u w:val="single"/>
              </w:rPr>
            </w:pPr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Пре</w:t>
            </w:r>
            <w:r w:rsidR="0030623B">
              <w:rPr>
                <w:rFonts w:ascii="Times New Roman" w:hAnsi="Times New Roman"/>
                <w:spacing w:val="2"/>
                <w:sz w:val="24"/>
                <w:u w:val="single"/>
              </w:rPr>
              <w:t>дседатель комиссии</w:t>
            </w:r>
          </w:p>
          <w:p w:rsidR="009243AD" w:rsidRPr="007356A5" w:rsidRDefault="0030623B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  <w:u w:val="single"/>
              </w:rPr>
            </w:pPr>
            <w:r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proofErr w:type="spellStart"/>
            <w:r w:rsidR="00FF52FC" w:rsidRPr="007356A5">
              <w:rPr>
                <w:rFonts w:ascii="Times New Roman" w:hAnsi="Times New Roman"/>
                <w:spacing w:val="2"/>
                <w:sz w:val="24"/>
                <w:u w:val="single"/>
              </w:rPr>
              <w:t>Яковенко</w:t>
            </w:r>
            <w:proofErr w:type="spellEnd"/>
            <w:r w:rsidR="00FF52FC" w:rsidRP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Е.В.:</w:t>
            </w:r>
          </w:p>
          <w:p w:rsidR="009243AD" w:rsidRPr="009243AD" w:rsidRDefault="00FF52FC" w:rsidP="00936B84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 w:rsidRPr="009243AD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9243AD"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="009243AD" w:rsidRPr="009243AD">
              <w:rPr>
                <w:rFonts w:ascii="Times New Roman" w:hAnsi="Times New Roman"/>
                <w:spacing w:val="2"/>
                <w:sz w:val="24"/>
              </w:rPr>
              <w:t xml:space="preserve">земельный участок в </w:t>
            </w:r>
            <w:r w:rsidR="009243AD" w:rsidRPr="00936B84">
              <w:rPr>
                <w:rFonts w:ascii="Times New Roman" w:hAnsi="Times New Roman"/>
                <w:sz w:val="24"/>
                <w:szCs w:val="24"/>
              </w:rPr>
              <w:t>федеральной</w:t>
            </w:r>
            <w:r w:rsidR="009243AD" w:rsidRPr="009243AD">
              <w:rPr>
                <w:rFonts w:ascii="Times New Roman" w:hAnsi="Times New Roman"/>
                <w:spacing w:val="2"/>
                <w:sz w:val="24"/>
              </w:rPr>
              <w:t xml:space="preserve"> собственности, </w:t>
            </w:r>
            <w:r w:rsidR="00ED5A09">
              <w:rPr>
                <w:rFonts w:ascii="Times New Roman" w:hAnsi="Times New Roman"/>
                <w:spacing w:val="2"/>
                <w:sz w:val="24"/>
              </w:rPr>
              <w:t xml:space="preserve">вопрос возможности подключения к </w:t>
            </w:r>
            <w:r w:rsidR="0092189F">
              <w:rPr>
                <w:rFonts w:ascii="Times New Roman" w:hAnsi="Times New Roman"/>
                <w:spacing w:val="2"/>
                <w:sz w:val="24"/>
              </w:rPr>
              <w:t xml:space="preserve">инженерным ресурсам не </w:t>
            </w:r>
            <w:r w:rsidR="0092189F">
              <w:rPr>
                <w:rFonts w:ascii="Times New Roman" w:hAnsi="Times New Roman"/>
                <w:spacing w:val="2"/>
                <w:sz w:val="24"/>
              </w:rPr>
              <w:lastRenderedPageBreak/>
              <w:t>проработан.</w:t>
            </w:r>
          </w:p>
          <w:p w:rsidR="009243AD" w:rsidRPr="007356A5" w:rsidRDefault="009243AD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  <w:u w:val="single"/>
              </w:rPr>
            </w:pPr>
            <w:proofErr w:type="spellStart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Буцаленко</w:t>
            </w:r>
            <w:proofErr w:type="spellEnd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А.Н.</w:t>
            </w:r>
            <w:r w:rsidR="006F0ED8" w:rsidRP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– член комиссии:</w:t>
            </w:r>
          </w:p>
          <w:p w:rsidR="009243AD" w:rsidRDefault="009243AD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 w:rsidR="003C4AB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92189F">
              <w:rPr>
                <w:rFonts w:ascii="Times New Roman" w:hAnsi="Times New Roman"/>
                <w:spacing w:val="2"/>
                <w:sz w:val="24"/>
              </w:rPr>
              <w:t>не представлен</w:t>
            </w:r>
            <w:r w:rsidR="003C4AB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="003E1B10">
              <w:rPr>
                <w:rFonts w:ascii="Times New Roman" w:hAnsi="Times New Roman"/>
                <w:spacing w:val="2"/>
                <w:sz w:val="24"/>
              </w:rPr>
              <w:t>правоустанавливающий документ, подтверждающий право владение, пользования, распоряжения</w:t>
            </w:r>
            <w:r w:rsidR="003E1B10" w:rsidRPr="006D6649">
              <w:rPr>
                <w:rFonts w:ascii="Times New Roman" w:hAnsi="Times New Roman"/>
                <w:sz w:val="24"/>
                <w:szCs w:val="24"/>
              </w:rPr>
              <w:t xml:space="preserve"> ЦРО «Духовное управление мусульман Ростовской области (Донской </w:t>
            </w:r>
            <w:proofErr w:type="spellStart"/>
            <w:r w:rsidR="003E1B10" w:rsidRPr="006D6649">
              <w:rPr>
                <w:rFonts w:ascii="Times New Roman" w:hAnsi="Times New Roman"/>
                <w:sz w:val="24"/>
                <w:szCs w:val="24"/>
              </w:rPr>
              <w:t>Мухтасибат</w:t>
            </w:r>
            <w:proofErr w:type="spellEnd"/>
            <w:r w:rsidR="003E1B10">
              <w:rPr>
                <w:rFonts w:ascii="Times New Roman" w:hAnsi="Times New Roman"/>
                <w:sz w:val="24"/>
                <w:szCs w:val="24"/>
              </w:rPr>
              <w:t>) на рассматриваемый земельный участок</w:t>
            </w:r>
            <w:r w:rsidR="003E1B10">
              <w:rPr>
                <w:rFonts w:ascii="Times New Roman" w:hAnsi="Times New Roman"/>
                <w:spacing w:val="2"/>
                <w:sz w:val="24"/>
              </w:rPr>
              <w:t>.</w:t>
            </w:r>
          </w:p>
          <w:p w:rsidR="006F0ED8" w:rsidRPr="007356A5" w:rsidRDefault="006F0ED8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  <w:u w:val="single"/>
              </w:rPr>
            </w:pPr>
            <w:proofErr w:type="spellStart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Чамуха</w:t>
            </w:r>
            <w:proofErr w:type="spellEnd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А.И – член комиссии: </w:t>
            </w:r>
          </w:p>
          <w:p w:rsidR="006F0ED8" w:rsidRPr="006F0ED8" w:rsidRDefault="006F0ED8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Pr="006F0ED8">
              <w:rPr>
                <w:rFonts w:ascii="Times New Roman" w:hAnsi="Times New Roman"/>
                <w:spacing w:val="2"/>
                <w:sz w:val="24"/>
              </w:rPr>
              <w:t>земельный участок расположен в природном заказнике, опасение, что для размещения ветроэнергетических установок потребуются дополнительны</w:t>
            </w:r>
            <w:r w:rsidR="003E1B10">
              <w:rPr>
                <w:rFonts w:ascii="Times New Roman" w:hAnsi="Times New Roman"/>
                <w:spacing w:val="2"/>
                <w:sz w:val="24"/>
              </w:rPr>
              <w:t>е</w:t>
            </w:r>
            <w:r w:rsidRPr="006F0ED8">
              <w:rPr>
                <w:rFonts w:ascii="Times New Roman" w:hAnsi="Times New Roman"/>
                <w:spacing w:val="2"/>
                <w:sz w:val="24"/>
              </w:rPr>
              <w:t xml:space="preserve"> площади,  прилегающая к земельному участку территория.</w:t>
            </w:r>
          </w:p>
          <w:p w:rsidR="009243AD" w:rsidRPr="007356A5" w:rsidRDefault="009243AD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  <w:u w:val="single"/>
              </w:rPr>
            </w:pPr>
            <w:proofErr w:type="spellStart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Алья</w:t>
            </w:r>
            <w:proofErr w:type="spellEnd"/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А.Б</w:t>
            </w:r>
            <w:r w:rsidR="007356A5">
              <w:rPr>
                <w:rFonts w:ascii="Times New Roman" w:hAnsi="Times New Roman"/>
                <w:spacing w:val="2"/>
                <w:sz w:val="24"/>
                <w:u w:val="single"/>
              </w:rPr>
              <w:t>. (содокладчик</w:t>
            </w:r>
            <w:r w:rsidR="00936B84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заинтересованного лица</w:t>
            </w:r>
            <w:r w:rsidR="007356A5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): </w:t>
            </w:r>
          </w:p>
          <w:p w:rsidR="009E7E17" w:rsidRPr="009E7E17" w:rsidRDefault="009243AD" w:rsidP="0021589D">
            <w:pPr>
              <w:pStyle w:val="Standard"/>
              <w:widowControl/>
              <w:ind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 w:rsidRPr="009243AD">
              <w:rPr>
                <w:rFonts w:ascii="Times New Roman" w:hAnsi="Times New Roman"/>
                <w:spacing w:val="2"/>
                <w:sz w:val="24"/>
              </w:rPr>
              <w:t xml:space="preserve"> проведена предварительная проработка по использованию земел</w:t>
            </w:r>
            <w:r w:rsidR="00936B84">
              <w:rPr>
                <w:rFonts w:ascii="Times New Roman" w:hAnsi="Times New Roman"/>
                <w:spacing w:val="2"/>
                <w:sz w:val="24"/>
              </w:rPr>
              <w:t xml:space="preserve">ьного участка по водоснабжению, </w:t>
            </w:r>
            <w:r w:rsidRPr="009243AD">
              <w:rPr>
                <w:rFonts w:ascii="Times New Roman" w:hAnsi="Times New Roman"/>
                <w:spacing w:val="2"/>
                <w:sz w:val="24"/>
              </w:rPr>
              <w:t xml:space="preserve">электроснабжению. Нет информации по водоотведению. Не рассматривается вопрос с газификацией. Представлено проектное предложение – дизайн проект </w:t>
            </w:r>
            <w:proofErr w:type="gramStart"/>
            <w:r w:rsidRPr="009243AD">
              <w:rPr>
                <w:rFonts w:ascii="Times New Roman" w:hAnsi="Times New Roman"/>
                <w:spacing w:val="2"/>
                <w:sz w:val="24"/>
              </w:rPr>
              <w:t>Духовного</w:t>
            </w:r>
            <w:proofErr w:type="gramEnd"/>
            <w:r w:rsidRPr="009243AD">
              <w:rPr>
                <w:rFonts w:ascii="Times New Roman" w:hAnsi="Times New Roman"/>
                <w:spacing w:val="2"/>
                <w:sz w:val="24"/>
              </w:rPr>
              <w:t xml:space="preserve"> управление мусульман Российской Федерации.</w:t>
            </w:r>
            <w:r w:rsidR="009E7E17">
              <w:rPr>
                <w:rFonts w:ascii="Times New Roman" w:hAnsi="Times New Roman"/>
                <w:spacing w:val="2"/>
                <w:sz w:val="24"/>
              </w:rPr>
              <w:t xml:space="preserve"> Б</w:t>
            </w:r>
            <w:r w:rsidR="007356A5">
              <w:rPr>
                <w:rFonts w:ascii="Times New Roman" w:hAnsi="Times New Roman"/>
                <w:spacing w:val="2"/>
                <w:sz w:val="24"/>
              </w:rPr>
              <w:t xml:space="preserve">удут использованы </w:t>
            </w:r>
            <w:r w:rsidR="009E7E17" w:rsidRPr="009E7E17">
              <w:rPr>
                <w:rFonts w:ascii="Times New Roman" w:hAnsi="Times New Roman"/>
                <w:spacing w:val="2"/>
                <w:sz w:val="24"/>
              </w:rPr>
              <w:t>ветроэнергетические установки контейнерного типа с возможностью применения «зелёных» технологий и размещением в границах земельного участка.</w:t>
            </w:r>
          </w:p>
          <w:p w:rsidR="007356A5" w:rsidRDefault="007356A5" w:rsidP="0021589D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pacing w:val="2"/>
                <w:sz w:val="24"/>
                <w:u w:val="single"/>
              </w:rPr>
            </w:pPr>
            <w:r w:rsidRPr="007356A5">
              <w:rPr>
                <w:rFonts w:ascii="Times New Roman" w:hAnsi="Times New Roman"/>
                <w:sz w:val="24"/>
                <w:u w:val="single"/>
              </w:rPr>
              <w:t>Сафонова А.М</w:t>
            </w:r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.</w:t>
            </w:r>
            <w:r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(председатель партии «</w:t>
            </w:r>
            <w:r w:rsidRPr="007356A5">
              <w:rPr>
                <w:rFonts w:ascii="Times New Roman" w:hAnsi="Times New Roman"/>
                <w:sz w:val="24"/>
                <w:u w:val="single"/>
              </w:rPr>
              <w:t>Партия</w:t>
            </w:r>
            <w:r w:rsidRPr="007356A5">
              <w:rPr>
                <w:rFonts w:ascii="Times New Roman" w:hAnsi="Times New Roman"/>
                <w:u w:val="single"/>
              </w:rPr>
              <w:t xml:space="preserve"> </w:t>
            </w:r>
            <w:r w:rsidRPr="007356A5">
              <w:rPr>
                <w:rFonts w:ascii="Times New Roman" w:hAnsi="Times New Roman"/>
                <w:sz w:val="24"/>
                <w:u w:val="single"/>
              </w:rPr>
              <w:t>Возрождения</w:t>
            </w:r>
            <w:r w:rsidRPr="007356A5">
              <w:rPr>
                <w:rFonts w:ascii="Times New Roman" w:hAnsi="Times New Roman"/>
                <w:u w:val="single"/>
              </w:rPr>
              <w:t xml:space="preserve"> </w:t>
            </w:r>
            <w:r w:rsidRPr="007356A5">
              <w:rPr>
                <w:rFonts w:ascii="Times New Roman" w:hAnsi="Times New Roman"/>
                <w:sz w:val="24"/>
                <w:u w:val="single"/>
              </w:rPr>
              <w:t>России»)</w:t>
            </w:r>
            <w:r w:rsidRPr="007356A5">
              <w:rPr>
                <w:rFonts w:ascii="Times New Roman" w:hAnsi="Times New Roman"/>
                <w:spacing w:val="2"/>
                <w:sz w:val="24"/>
                <w:u w:val="single"/>
              </w:rPr>
              <w:t>:</w:t>
            </w:r>
          </w:p>
          <w:p w:rsidR="00016A73" w:rsidRDefault="007356A5" w:rsidP="0021589D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r w:rsidRPr="007356A5">
              <w:rPr>
                <w:rFonts w:ascii="Times New Roman" w:hAnsi="Times New Roman"/>
                <w:spacing w:val="2"/>
                <w:sz w:val="24"/>
              </w:rPr>
              <w:t xml:space="preserve">- в сложившейся сложной внешнеполитической обстановке, очень важна внутренняя политическая обстановка в стране, возможность организовать религиозный институт мусульманской направленности для просвещения, образования прихожан. Прошу рассмотреть возможность организовать деятельность мусульман на </w:t>
            </w:r>
            <w:r w:rsidRPr="007356A5">
              <w:rPr>
                <w:rFonts w:ascii="Times New Roman" w:hAnsi="Times New Roman"/>
                <w:spacing w:val="2"/>
                <w:sz w:val="24"/>
              </w:rPr>
              <w:lastRenderedPageBreak/>
              <w:t>территории города Батайска.</w:t>
            </w:r>
          </w:p>
          <w:p w:rsidR="003C20AD" w:rsidRDefault="003C20AD" w:rsidP="0021589D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pacing w:val="2"/>
                <w:sz w:val="24"/>
              </w:rPr>
            </w:pPr>
            <w:proofErr w:type="spellStart"/>
            <w:r>
              <w:rPr>
                <w:rFonts w:ascii="Times New Roman" w:hAnsi="Times New Roman"/>
                <w:spacing w:val="2"/>
                <w:sz w:val="24"/>
                <w:u w:val="single"/>
              </w:rPr>
              <w:t>Сагайда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Л.В</w:t>
            </w:r>
            <w:r w:rsidRPr="007E6E0F">
              <w:rPr>
                <w:rFonts w:ascii="Times New Roman" w:hAnsi="Times New Roman"/>
                <w:spacing w:val="2"/>
                <w:sz w:val="24"/>
                <w:u w:val="single"/>
              </w:rPr>
              <w:t>.</w:t>
            </w:r>
            <w:r w:rsidR="007E6E0F" w:rsidRPr="007E6E0F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30623B" w:rsidRPr="007E6E0F">
              <w:rPr>
                <w:rFonts w:ascii="Times New Roman" w:hAnsi="Times New Roman"/>
                <w:spacing w:val="2"/>
                <w:sz w:val="24"/>
                <w:u w:val="single"/>
              </w:rPr>
              <w:t>(житель города)</w:t>
            </w:r>
            <w:r w:rsidRPr="007E6E0F">
              <w:rPr>
                <w:rFonts w:ascii="Times New Roman" w:hAnsi="Times New Roman"/>
                <w:spacing w:val="2"/>
                <w:sz w:val="24"/>
                <w:u w:val="single"/>
              </w:rPr>
              <w:t>:</w:t>
            </w:r>
          </w:p>
          <w:p w:rsidR="003C20AD" w:rsidRPr="007356A5" w:rsidRDefault="003C20AD" w:rsidP="00936B84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>-</w:t>
            </w:r>
            <w:r w:rsidRPr="003C20AD">
              <w:rPr>
                <w:rFonts w:ascii="Times New Roman" w:hAnsi="Times New Roman"/>
                <w:spacing w:val="2"/>
                <w:sz w:val="24"/>
              </w:rPr>
              <w:t xml:space="preserve"> считаю строительство объекта капитального строительства культового назначения преждевременно, необходимо изучить общественное мнение, вопрос вынести на референдум, опрос сред</w:t>
            </w:r>
            <w:r w:rsidR="00936B84">
              <w:rPr>
                <w:rFonts w:ascii="Times New Roman" w:hAnsi="Times New Roman"/>
                <w:spacing w:val="2"/>
                <w:sz w:val="24"/>
              </w:rPr>
              <w:t>и</w:t>
            </w:r>
            <w:r w:rsidRPr="003C20AD">
              <w:rPr>
                <w:rFonts w:ascii="Times New Roman" w:hAnsi="Times New Roman"/>
                <w:spacing w:val="2"/>
                <w:sz w:val="24"/>
              </w:rPr>
              <w:t xml:space="preserve"> жителей постоянно проживающих на территории города Батайска, что бы не спровоцировать конфликт между </w:t>
            </w:r>
            <w:proofErr w:type="gramStart"/>
            <w:r w:rsidRPr="003C20AD">
              <w:rPr>
                <w:rFonts w:ascii="Times New Roman" w:hAnsi="Times New Roman"/>
                <w:spacing w:val="2"/>
                <w:sz w:val="24"/>
              </w:rPr>
              <w:t>разными</w:t>
            </w:r>
            <w:proofErr w:type="gramEnd"/>
            <w:r w:rsidRPr="003C20AD">
              <w:rPr>
                <w:rFonts w:ascii="Times New Roman" w:hAnsi="Times New Roman"/>
                <w:spacing w:val="2"/>
                <w:sz w:val="24"/>
              </w:rPr>
              <w:t xml:space="preserve"> религиозными </w:t>
            </w:r>
            <w:proofErr w:type="spellStart"/>
            <w:r w:rsidRPr="003C20AD">
              <w:rPr>
                <w:rFonts w:ascii="Times New Roman" w:hAnsi="Times New Roman"/>
                <w:spacing w:val="2"/>
                <w:sz w:val="24"/>
              </w:rPr>
              <w:t>конфессиями</w:t>
            </w:r>
            <w:proofErr w:type="spellEnd"/>
            <w:r w:rsidRPr="003C20AD">
              <w:rPr>
                <w:rFonts w:ascii="Times New Roman" w:hAnsi="Times New Roman"/>
                <w:spacing w:val="2"/>
                <w:sz w:val="24"/>
              </w:rPr>
              <w:t xml:space="preserve"> и социальное недовольство</w:t>
            </w:r>
            <w:r w:rsidR="0021589D">
              <w:rPr>
                <w:rFonts w:ascii="Times New Roman" w:hAnsi="Times New Roman"/>
                <w:spacing w:val="2"/>
                <w:sz w:val="24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7F0F6F" w:rsidRDefault="00CD0C3F" w:rsidP="0021589D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BB5E05">
              <w:rPr>
                <w:rFonts w:ascii="Times New Roman" w:hAnsi="Times New Roman"/>
                <w:sz w:val="24"/>
                <w:szCs w:val="24"/>
              </w:rPr>
              <w:t>,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2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руководствуясь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6B84">
              <w:rPr>
                <w:rFonts w:ascii="Times New Roman" w:hAnsi="Times New Roman"/>
                <w:sz w:val="24"/>
                <w:szCs w:val="24"/>
              </w:rPr>
              <w:t xml:space="preserve">учитывая </w:t>
            </w:r>
            <w:r w:rsidR="00DD17A4">
              <w:rPr>
                <w:rFonts w:ascii="Times New Roman" w:hAnsi="Times New Roman"/>
                <w:sz w:val="24"/>
                <w:szCs w:val="24"/>
              </w:rPr>
              <w:t>расположение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 рассматриваемого</w:t>
            </w:r>
            <w:r w:rsidR="00DD17A4">
              <w:rPr>
                <w:rFonts w:ascii="Times New Roman" w:hAnsi="Times New Roman"/>
                <w:sz w:val="24"/>
                <w:szCs w:val="24"/>
              </w:rPr>
              <w:t xml:space="preserve"> земельного участка 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6D6649" w:rsidRPr="006D6649">
              <w:rPr>
                <w:rFonts w:ascii="Times New Roman" w:hAnsi="Times New Roman"/>
                <w:sz w:val="24"/>
                <w:szCs w:val="24"/>
              </w:rPr>
              <w:t>61:46:0010701:225 площадью 10000</w:t>
            </w:r>
            <w:r w:rsidR="008B38BF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8B38B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C9096F">
              <w:rPr>
                <w:rFonts w:ascii="Times New Roman" w:hAnsi="Times New Roman"/>
                <w:sz w:val="24"/>
                <w:szCs w:val="24"/>
              </w:rPr>
              <w:t xml:space="preserve"> по проезду Лиманный, 1</w:t>
            </w:r>
            <w:r w:rsidR="008B38BF">
              <w:rPr>
                <w:rFonts w:ascii="Times New Roman" w:hAnsi="Times New Roman"/>
                <w:sz w:val="24"/>
                <w:szCs w:val="24"/>
              </w:rPr>
              <w:t>,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7A4">
              <w:rPr>
                <w:rFonts w:ascii="Times New Roman" w:hAnsi="Times New Roman"/>
                <w:sz w:val="24"/>
                <w:szCs w:val="24"/>
              </w:rPr>
              <w:t>в рекреационной зоне, вблизи</w:t>
            </w:r>
            <w:r w:rsidR="006D6649" w:rsidRPr="006D66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D6649" w:rsidRPr="006D6649">
              <w:rPr>
                <w:rFonts w:ascii="Times New Roman" w:hAnsi="Times New Roman"/>
                <w:sz w:val="24"/>
                <w:szCs w:val="24"/>
              </w:rPr>
              <w:t>территории областного значения государственного природного заказника «Левобережный»</w:t>
            </w:r>
            <w:r w:rsidR="008B38B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7A4">
              <w:rPr>
                <w:rFonts w:ascii="Times New Roman" w:hAnsi="Times New Roman"/>
                <w:sz w:val="24"/>
                <w:szCs w:val="24"/>
              </w:rPr>
              <w:t xml:space="preserve"> земельного участка  </w:t>
            </w:r>
            <w:r w:rsidR="00AA59F9" w:rsidRPr="00AA59F9">
              <w:rPr>
                <w:rFonts w:ascii="Times New Roman" w:hAnsi="Times New Roman"/>
                <w:sz w:val="24"/>
                <w:szCs w:val="24"/>
              </w:rPr>
              <w:t>с видом разрешенного использования «охрана природных территорий»</w:t>
            </w:r>
            <w:r w:rsidR="00DD17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D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9F9">
              <w:rPr>
                <w:rFonts w:ascii="Times New Roman" w:hAnsi="Times New Roman"/>
                <w:sz w:val="24"/>
                <w:szCs w:val="24"/>
              </w:rPr>
              <w:t xml:space="preserve">с кадастровым номером </w:t>
            </w:r>
            <w:r w:rsidR="00AA59F9" w:rsidRPr="00AA59F9">
              <w:rPr>
                <w:rFonts w:ascii="Times New Roman" w:hAnsi="Times New Roman"/>
                <w:sz w:val="24"/>
                <w:szCs w:val="24"/>
              </w:rPr>
              <w:t>61:46:</w:t>
            </w:r>
            <w:proofErr w:type="gramStart"/>
            <w:r w:rsidR="00AA59F9" w:rsidRPr="00AA59F9">
              <w:rPr>
                <w:rFonts w:ascii="Times New Roman" w:hAnsi="Times New Roman"/>
                <w:sz w:val="24"/>
                <w:szCs w:val="24"/>
              </w:rPr>
              <w:t>0010701:223</w:t>
            </w:r>
            <w:r w:rsidR="007557B8">
              <w:rPr>
                <w:rFonts w:ascii="Times New Roman" w:hAnsi="Times New Roman"/>
                <w:sz w:val="24"/>
                <w:szCs w:val="24"/>
              </w:rPr>
              <w:t>, а также в зоне с особыми условиями использования территорий «зона затопления»,</w:t>
            </w:r>
            <w:r w:rsidR="007E6E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отсутствие у заинтересованного лица </w:t>
            </w:r>
            <w:r w:rsidR="006D6649" w:rsidRPr="006D6649">
              <w:rPr>
                <w:rFonts w:ascii="Times New Roman" w:hAnsi="Times New Roman"/>
                <w:sz w:val="24"/>
                <w:szCs w:val="24"/>
              </w:rPr>
              <w:t xml:space="preserve">(ЦРО «Духовное управление мусульман Ростовской области (Донской </w:t>
            </w:r>
            <w:proofErr w:type="spellStart"/>
            <w:r w:rsidR="006D6649" w:rsidRPr="006D6649">
              <w:rPr>
                <w:rFonts w:ascii="Times New Roman" w:hAnsi="Times New Roman"/>
                <w:sz w:val="24"/>
                <w:szCs w:val="24"/>
              </w:rPr>
              <w:t>Мухтасибат</w:t>
            </w:r>
            <w:proofErr w:type="spellEnd"/>
            <w:r w:rsidR="006D6649" w:rsidRPr="006D6649">
              <w:rPr>
                <w:rFonts w:ascii="Times New Roman" w:hAnsi="Times New Roman"/>
                <w:sz w:val="24"/>
                <w:szCs w:val="24"/>
              </w:rPr>
              <w:t>)»</w:t>
            </w:r>
            <w:r w:rsidR="006D6649">
              <w:rPr>
                <w:rFonts w:ascii="Times New Roman" w:hAnsi="Times New Roman"/>
                <w:sz w:val="24"/>
                <w:szCs w:val="24"/>
              </w:rPr>
              <w:t xml:space="preserve"> правоустанавливающих документов</w:t>
            </w:r>
            <w:r w:rsidR="006D6649" w:rsidRPr="006D6649">
              <w:rPr>
                <w:rFonts w:ascii="Times New Roman" w:hAnsi="Times New Roman"/>
                <w:sz w:val="24"/>
                <w:szCs w:val="24"/>
              </w:rPr>
              <w:t>,</w:t>
            </w:r>
            <w:r w:rsidR="007557B8">
              <w:rPr>
                <w:rFonts w:ascii="Times New Roman" w:hAnsi="Times New Roman"/>
                <w:sz w:val="24"/>
                <w:szCs w:val="24"/>
              </w:rPr>
              <w:t xml:space="preserve">  отсутствие</w:t>
            </w:r>
            <w:r w:rsidR="0021589D">
              <w:rPr>
                <w:rFonts w:ascii="Times New Roman" w:hAnsi="Times New Roman"/>
                <w:sz w:val="24"/>
                <w:szCs w:val="24"/>
              </w:rPr>
              <w:t xml:space="preserve"> информации о</w:t>
            </w:r>
            <w:r w:rsidR="0021589D" w:rsidRPr="0021589D">
              <w:rPr>
                <w:rFonts w:ascii="Times New Roman" w:hAnsi="Times New Roman"/>
              </w:rPr>
              <w:t xml:space="preserve"> </w:t>
            </w:r>
            <w:r w:rsidR="0021589D" w:rsidRPr="0021589D">
              <w:rPr>
                <w:rFonts w:ascii="Times New Roman" w:hAnsi="Times New Roman"/>
                <w:sz w:val="24"/>
                <w:szCs w:val="24"/>
              </w:rPr>
              <w:t>транспортных связ</w:t>
            </w:r>
            <w:r w:rsidR="0021589D">
              <w:rPr>
                <w:rFonts w:ascii="Times New Roman" w:hAnsi="Times New Roman"/>
                <w:sz w:val="24"/>
                <w:szCs w:val="24"/>
              </w:rPr>
              <w:t>ях</w:t>
            </w:r>
            <w:r w:rsidR="0021589D" w:rsidRPr="002158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589D">
              <w:rPr>
                <w:rFonts w:ascii="Times New Roman" w:hAnsi="Times New Roman"/>
                <w:sz w:val="24"/>
                <w:szCs w:val="24"/>
              </w:rPr>
              <w:t>с</w:t>
            </w:r>
            <w:r w:rsidR="0021589D" w:rsidRPr="0021589D">
              <w:rPr>
                <w:rFonts w:ascii="Times New Roman" w:hAnsi="Times New Roman"/>
                <w:sz w:val="24"/>
                <w:szCs w:val="24"/>
              </w:rPr>
              <w:t xml:space="preserve"> основным</w:t>
            </w:r>
            <w:r w:rsidR="0021589D">
              <w:rPr>
                <w:rFonts w:ascii="Times New Roman" w:hAnsi="Times New Roman"/>
                <w:sz w:val="24"/>
                <w:szCs w:val="24"/>
              </w:rPr>
              <w:t>и</w:t>
            </w:r>
            <w:r w:rsidR="0021589D" w:rsidRPr="0021589D">
              <w:rPr>
                <w:rFonts w:ascii="Times New Roman" w:hAnsi="Times New Roman"/>
                <w:sz w:val="24"/>
                <w:szCs w:val="24"/>
              </w:rPr>
              <w:t xml:space="preserve"> транспортным</w:t>
            </w:r>
            <w:r w:rsidR="0021589D">
              <w:rPr>
                <w:rFonts w:ascii="Times New Roman" w:hAnsi="Times New Roman"/>
                <w:sz w:val="24"/>
                <w:szCs w:val="24"/>
              </w:rPr>
              <w:t>и</w:t>
            </w:r>
            <w:r w:rsidR="0021589D" w:rsidRPr="0021589D">
              <w:rPr>
                <w:rFonts w:ascii="Times New Roman" w:hAnsi="Times New Roman"/>
                <w:sz w:val="24"/>
                <w:szCs w:val="24"/>
              </w:rPr>
              <w:t xml:space="preserve"> сетям</w:t>
            </w:r>
            <w:r w:rsidR="0021589D">
              <w:rPr>
                <w:rFonts w:ascii="Times New Roman" w:hAnsi="Times New Roman"/>
                <w:sz w:val="24"/>
                <w:szCs w:val="24"/>
              </w:rPr>
              <w:t>и, о возможности подключения к инженерным сетям</w:t>
            </w:r>
            <w:r w:rsidR="007557B8">
              <w:rPr>
                <w:rFonts w:ascii="Times New Roman" w:hAnsi="Times New Roman"/>
                <w:sz w:val="24"/>
                <w:szCs w:val="24"/>
              </w:rPr>
              <w:t>,</w:t>
            </w:r>
            <w:r w:rsidR="0021589D">
              <w:rPr>
                <w:rFonts w:ascii="Times New Roman" w:hAnsi="Times New Roman"/>
              </w:rPr>
              <w:t xml:space="preserve">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043E05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 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043E05" w:rsidRPr="00043E05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 проезду Лиманный, 1</w:t>
            </w:r>
            <w:proofErr w:type="gramEnd"/>
            <w:r w:rsidR="00D41234" w:rsidRPr="008521CB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>разрешения на условно разрешенный вид использования «</w:t>
            </w:r>
            <w:r w:rsidR="00043E05" w:rsidRPr="00043E05">
              <w:rPr>
                <w:rFonts w:ascii="Times New Roman" w:hAnsi="Times New Roman"/>
                <w:sz w:val="24"/>
                <w:szCs w:val="24"/>
              </w:rPr>
              <w:t>осуществление религиозных обрядов</w:t>
            </w:r>
            <w:r w:rsidR="00FE054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F1888" w:rsidRPr="005F1888">
        <w:rPr>
          <w:rFonts w:ascii="Times New Roman" w:hAnsi="Times New Roman"/>
          <w:sz w:val="24"/>
          <w:szCs w:val="24"/>
          <w:u w:val="single"/>
        </w:rPr>
        <w:t>О</w:t>
      </w:r>
      <w:r w:rsidR="00E76496">
        <w:rPr>
          <w:rFonts w:ascii="Times New Roman" w:hAnsi="Times New Roman"/>
          <w:sz w:val="24"/>
          <w:szCs w:val="24"/>
          <w:u w:val="single"/>
        </w:rPr>
        <w:t>б отказе в</w:t>
      </w:r>
      <w:r w:rsidR="005F1888" w:rsidRPr="005F1888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проезду Лиманный, 1</w:t>
      </w:r>
      <w:r w:rsidR="00C4308C">
        <w:rPr>
          <w:rFonts w:ascii="Times New Roman" w:hAnsi="Times New Roman"/>
          <w:sz w:val="24"/>
          <w:szCs w:val="24"/>
        </w:rPr>
        <w:t>»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72A4F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ь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72A4F">
        <w:rPr>
          <w:rFonts w:ascii="Times New Roman" w:hAnsi="Times New Roman"/>
          <w:spacing w:val="2"/>
          <w:sz w:val="24"/>
          <w:szCs w:val="24"/>
          <w:lang w:eastAsia="ru-RU"/>
        </w:rPr>
        <w:t xml:space="preserve">Е.В. </w:t>
      </w:r>
      <w:proofErr w:type="spellStart"/>
      <w:r w:rsidR="00A72A4F">
        <w:rPr>
          <w:rFonts w:ascii="Times New Roman" w:hAnsi="Times New Roman"/>
          <w:spacing w:val="2"/>
          <w:sz w:val="24"/>
          <w:szCs w:val="24"/>
          <w:lang w:eastAsia="ru-RU"/>
        </w:rPr>
        <w:t>Яковенко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F71"/>
    <w:rsid w:val="000856DB"/>
    <w:rsid w:val="00096E9E"/>
    <w:rsid w:val="000A7BC1"/>
    <w:rsid w:val="000B0596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11183"/>
    <w:rsid w:val="00115CE0"/>
    <w:rsid w:val="00137327"/>
    <w:rsid w:val="00141C34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E0AEB"/>
    <w:rsid w:val="001E10C0"/>
    <w:rsid w:val="001F6C3C"/>
    <w:rsid w:val="00201D4D"/>
    <w:rsid w:val="00214E85"/>
    <w:rsid w:val="0021589D"/>
    <w:rsid w:val="00231174"/>
    <w:rsid w:val="00234B18"/>
    <w:rsid w:val="002469FE"/>
    <w:rsid w:val="00250360"/>
    <w:rsid w:val="00255602"/>
    <w:rsid w:val="00256E84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6566"/>
    <w:rsid w:val="004A3BE3"/>
    <w:rsid w:val="004A4F00"/>
    <w:rsid w:val="004B08CB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D556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4929"/>
    <w:rsid w:val="008B5DE3"/>
    <w:rsid w:val="008C148D"/>
    <w:rsid w:val="008C16C7"/>
    <w:rsid w:val="008C7ACC"/>
    <w:rsid w:val="008C7F68"/>
    <w:rsid w:val="008E18FD"/>
    <w:rsid w:val="008E2A3A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C07DC"/>
    <w:rsid w:val="00AC6763"/>
    <w:rsid w:val="00AE22F1"/>
    <w:rsid w:val="00AE4195"/>
    <w:rsid w:val="00AF5894"/>
    <w:rsid w:val="00B07E31"/>
    <w:rsid w:val="00B10681"/>
    <w:rsid w:val="00B21FA4"/>
    <w:rsid w:val="00B33D46"/>
    <w:rsid w:val="00B44387"/>
    <w:rsid w:val="00B4585F"/>
    <w:rsid w:val="00B5081D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5A90"/>
    <w:rsid w:val="00EA758A"/>
    <w:rsid w:val="00EB1D5C"/>
    <w:rsid w:val="00EC49E3"/>
    <w:rsid w:val="00ED5A09"/>
    <w:rsid w:val="00ED6DF3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4B2B"/>
    <w:rsid w:val="00FD518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2024-04-03T08:15:00Z</cp:lastPrinted>
  <dcterms:created xsi:type="dcterms:W3CDTF">2024-04-03T09:09:00Z</dcterms:created>
  <dcterms:modified xsi:type="dcterms:W3CDTF">2024-04-03T09:09:00Z</dcterms:modified>
</cp:coreProperties>
</file>